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pPr>
      <w:r>
        <w:rPr>
          <w:rFonts w:ascii="Arial" w:hAnsi="Arial"/>
          <w:b w:val="0"/>
          <w:color w:val="000000"/>
          <w:sz w:val="52"/>
        </w:rPr>
        <w:t>CEO of AI Staff</w:t>
      </w:r>
    </w:p>
    <w:p>
      <w:pPr>
        <w:spacing w:after="280"/>
      </w:pPr>
      <w:r>
        <w:rPr>
          <w:rFonts w:ascii="Arial" w:hAnsi="Arial"/>
          <w:color w:val="555555"/>
          <w:sz w:val="28"/>
        </w:rPr>
        <w:t>Sources &amp; Notes · Version 1.0</w:t>
      </w:r>
    </w:p>
    <w:p>
      <w:r>
        <w:t>Canonical source: Book 1 Publication Master V4 - Edited Canon</w:t>
      </w:r>
    </w:p>
    <w:p>
      <w:r>
        <w:t>For owner-operators and accountable business or department leaders. Core companion value; free community access; no book purchase required.</w:t>
      </w:r>
    </w:p>
    <w:p>
      <w:r>
        <w:t>Use real business evidence, keep confidential information inside approved company systems, and retain human accountability for consequential decisions.</w:t>
      </w:r>
    </w:p>
    <w:p>
      <w:r>
        <w:t>The accounts below are drawn from public records.</w:t>
      </w:r>
    </w:p>
    <w:p>
      <w:pPr>
        <w:pStyle w:val="Heading1"/>
      </w:pPr>
      <w:r>
        <w:t>Chapter 4 — Apollo 11 and the 1202 Program Alarm</w:t>
      </w:r>
    </w:p>
    <w:p>
      <w:r>
        <w:t>The descent transcript, including the program-alarm calls and Mission Control’s response, is in the Apollo 11 Lunar Surface Journal, NASA (history.nasa.gov/alsj). The characterization of the 1202 as an executive-overload condition, and the account of the Apollo Guidance Computer’s priority-driven restart behavior, are drawn from the same source’s program-alarm commentary.</w:t>
      </w:r>
    </w:p>
    <w:p>
      <w:r>
        <w:t>Chapters 7 and 8 — The Enterprise Approach and Landing Tests</w:t>
      </w:r>
    </w:p>
    <w:p>
      <w:r>
        <w:t>The flight-test sequence, the five free flights of 1977, and the pilot-induced oscillation on the fifth flight are drawn from Jenkins, D. R., “Free Enterprise: Contributions of the Approach and Landing Test (ALT) Program to the Development of the Space Shuttle Orbiter,” NASA Technical Reports Server, document 20070034952. The chapter title in Part III borrows that paper’s own title.</w:t>
      </w:r>
    </w:p>
    <w:p>
      <w:r>
        <w:t>Chapters 10 and 11 — Sakichi Toyoda and Jidoka</w:t>
      </w:r>
    </w:p>
    <w:p>
      <w:r>
        <w:t>The weft-halting device on the Toyoda Power Loom, the Type-G Automatic Loom, and Toyota’s description of jidoka as “automation with a human touch” are drawn from Toyota Motor Corporation’s official account of the Toyota Production System and from its corporate history, 75 Years of Toyota, Part 1, Chapter 1, Section 1, “The Birth of Jidoka.”</w:t>
      </w:r>
    </w:p>
    <w:p>
      <w:pPr>
        <w:pStyle w:val="Heading1"/>
      </w:pPr>
      <w:r>
        <w:t>Chapter 11 — Governance Frameworks</w:t>
      </w:r>
    </w:p>
    <w:p>
      <w:r>
        <w:t>NIST, Artificial Intelligence Risk Management Framework (AI RMF 1.0), NIST AI 100-1, January 2023. The governance discussion referenced here is the GOVERN function of the Framework Core.</w:t>
      </w:r>
    </w:p>
    <w:p>
      <w:r>
        <w:t>U.S. Government Accountability Office, Artificial Intelligence: An Accountability Framework for Federal Agencies and Other Entities, GAO-21-519SP, June 30, 2021. The four principles referenced are governance, data, performance, and monitoring.</w:t>
      </w:r>
    </w:p>
    <w:p>
      <w:pPr>
        <w:pStyle w:val="Heading1"/>
      </w:pPr>
      <w:r>
        <w:t>Chapter 12 — After-Action Reviews</w:t>
      </w:r>
    </w:p>
    <w:p>
      <w:r>
        <w:t>U.S. Army, TC 25-20, A Leader’s Guide to After-Action Reviews, September 1993, which sets out the four steps of planning, preparing, conducting, and following up. A later Army overview, The Leader’s Guide to After-Action Reviews (AAR), December 2013, is available through the Army Training Network.</w:t>
      </w:r>
    </w:p>
    <w:p>
      <w:pPr>
        <w:pStyle w:val="Heading1"/>
      </w:pPr>
      <w:r>
        <w:t>A Note on the Cases</w:t>
      </w:r>
    </w:p>
    <w:p>
      <w:r>
        <w:t>The operating incidents used to illustrate the method in Chapters 8 through 12 are illustrative examples, not reported events. The account in Chapter 1 and the account in the Conclusion are drawn from the author’s own work and are presented without identifying the organizations involved.</w:t>
      </w:r>
    </w:p>
    <w:sectPr w:rsidR="00FC693F" w:rsidRPr="0006063C" w:rsidSect="00034616">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20"/>
      <w:outlineLvl w:val="0"/>
    </w:pPr>
    <w:rPr>
      <w:rFonts w:asciiTheme="majorHAnsi" w:eastAsiaTheme="majorEastAsia" w:hAnsiTheme="majorHAnsi" w:cstheme="majorBidi" w:ascii="Arial" w:hAnsi="Arial"/>
      <w:b w:val="0"/>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360" w:after="120"/>
      <w:outlineLvl w:val="1"/>
    </w:pPr>
    <w:rPr>
      <w:rFonts w:asciiTheme="majorHAnsi" w:eastAsiaTheme="majorEastAsia" w:hAnsiTheme="majorHAnsi" w:cstheme="majorBidi" w:ascii="Arial" w:hAnsi="Arial"/>
      <w:b w:val="0"/>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320" w:after="80"/>
      <w:outlineLvl w:val="2"/>
    </w:pPr>
    <w:rPr>
      <w:rFonts w:asciiTheme="majorHAnsi" w:eastAsiaTheme="majorEastAsia" w:hAnsiTheme="majorHAnsi" w:cstheme="majorBidi" w:ascii="Arial" w:hAnsi="Arial"/>
      <w:b w:val="0"/>
      <w:bCs/>
      <w:color w:val="434343"/>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