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Own Something Harder</w:t>
      </w:r>
    </w:p>
    <w:p>
      <w:pPr>
        <w:pStyle w:val="Subtitle"/>
      </w:pPr>
      <w:r>
        <w:t>Sources and Notes</w:t>
      </w:r>
    </w:p>
    <w:p>
      <w:r>
        <w:rPr>
          <w:b w:val="0"/>
        </w:rPr>
        <w:t>Book 6 of Rentable Expertise by Alex Tran</w:t>
      </w:r>
    </w:p>
    <w:p>
      <w:r>
        <w:rPr>
          <w:b w:val="0"/>
        </w:rPr>
        <w:t>Use this companion to trace the toolkit to the book, check the limits of each exercise, and keep a record of the evidence behind your own decision.</w:t>
      </w:r>
    </w:p>
    <w:p>
      <w:pPr>
        <w:pStyle w:val="Heading2"/>
      </w:pPr>
      <w:r>
        <w:t>Primary source and scope</w:t>
      </w:r>
    </w:p>
    <w:p>
      <w:r>
        <w:rPr>
          <w:b w:val="0"/>
        </w:rPr>
        <w:t>Alex Tran, Own Something Harder, published edition. The chapter map on the following pages identifies the basis for each worksheet. Worksheet prompts and the fictional example are companion adaptations, not quotations or a chapter by chapter reproduction.</w:t>
      </w:r>
    </w:p>
    <w:p>
      <w:hyperlink r:id="rId11">
        <w:r>
          <w:rPr>
            <w:color w:val="24577A"/>
          </w:rPr>
          <w:t>Official book page</w:t>
        </w:r>
      </w:hyperlink>
    </w:p>
    <w:p>
      <w:r>
        <w:rPr>
          <w:b w:val="0"/>
        </w:rPr>
        <w:t>This document is a chapter guide and a selection of further reading. It does not claim to reproduce the original book bibliography or to prove that a particular product, arrangement, or plan is suitable.</w:t>
      </w:r>
    </w:p>
    <w:p>
      <w:pPr>
        <w:pStyle w:val="Heading2"/>
      </w:pPr>
      <w:r>
        <w:t>Selected further reading</w:t>
      </w:r>
    </w:p>
    <w:p>
      <w:hyperlink r:id="rId12">
        <w:r>
          <w:rPr>
            <w:color w:val="24577A"/>
          </w:rPr>
          <w:t>How People Learn II Learners Contexts and Cultures</w:t>
        </w:r>
      </w:hyperlink>
    </w:p>
    <w:p>
      <w:r>
        <w:rPr>
          <w:b w:val="0"/>
        </w:rPr>
        <w:t>National Academies of Sciences, Engineering, and Medicine, 2018. Further reading on learning across contexts and the lifespan. Use the research to ask better questions about practice and feedback; it does not guarantee an individual educational or career outcome.</w:t>
      </w:r>
    </w:p>
    <w:p>
      <w:hyperlink r:id="rId13">
        <w:r>
          <w:rPr>
            <w:color w:val="24577A"/>
          </w:rPr>
          <w:t>OECD AI Principles</w:t>
        </w:r>
      </w:hyperlink>
    </w:p>
    <w:p>
      <w:r>
        <w:rPr>
          <w:b w:val="0"/>
        </w:rPr>
        <w:t>Further reading on human rights, dignity, autonomy, transparency, robustness, and accountability in AI. These principles do not prove the suitability of a particular device or service.</w:t>
      </w:r>
    </w:p>
    <w:p>
      <w:r>
        <w:rPr>
          <w:b w:val="0"/>
        </w:rPr>
        <w:t>Further reading links checked October 19, 2026. Check the current edition and context before relying on an external source. Separate what a source says from your interpretation and the action you choose.</w:t>
      </w:r>
    </w:p>
    <w:p>
      <w:r>
        <w:br w:type="page"/>
      </w:r>
    </w:p>
    <w:p>
      <w:pPr>
        <w:pStyle w:val="Heading1"/>
      </w:pPr>
      <w:r>
        <w:t>Chapter references and application notes</w:t>
      </w:r>
    </w:p>
    <w:p>
      <w:pPr>
        <w:pStyle w:val="Heading2"/>
      </w:pPr>
      <w:r>
        <w:t>01 Separate output from understanding</w:t>
      </w:r>
    </w:p>
    <w:p>
      <w:r>
        <w:rPr>
          <w:b w:val="0"/>
        </w:rPr>
        <w:t>Chapters 1 to 3. Find what the learner can explain, check, and adapt when tools make a polished first pass easy.</w:t>
      </w:r>
    </w:p>
    <w:p>
      <w:r>
        <w:rPr>
          <w:b w:val="0"/>
        </w:rPr>
        <w:t>Borrowed competence can be useful. The question is what the learner understands and can responsibly govern, not whether they worked without help.</w:t>
      </w:r>
    </w:p>
    <w:p>
      <w:pPr>
        <w:pStyle w:val="Heading2"/>
      </w:pPr>
      <w:r>
        <w:t>02 Own one real outcome</w:t>
      </w:r>
    </w:p>
    <w:p>
      <w:r>
        <w:rPr>
          <w:b w:val="0"/>
        </w:rPr>
        <w:t>Chapters 4 and 8. Choose something small enough to learn from that matters to an identifiable person.</w:t>
      </w:r>
    </w:p>
    <w:p>
      <w:r>
        <w:rPr>
          <w:b w:val="0"/>
        </w:rPr>
        <w:t>Real does not have to mean commercial. Responsibility should be bounded, supported, and connected to an outcome someone actually values.</w:t>
      </w:r>
    </w:p>
    <w:p>
      <w:pPr>
        <w:pStyle w:val="Heading2"/>
      </w:pPr>
      <w:r>
        <w:t>03 Learn from the result</w:t>
      </w:r>
    </w:p>
    <w:p>
      <w:r>
        <w:rPr>
          <w:b w:val="0"/>
        </w:rPr>
        <w:t>Chapters 5 and 6. Turn feedback into diagnosis, correction, and a useful next attempt.</w:t>
      </w:r>
    </w:p>
    <w:p>
      <w:r>
        <w:rPr>
          <w:b w:val="0"/>
        </w:rPr>
        <w:t>Failure alone does not teach the lesson. Success, instruction, observation, or simulation can also supply feedback; do not manufacture unnecessary harm.</w:t>
      </w:r>
    </w:p>
    <w:p>
      <w:pPr>
        <w:pStyle w:val="Heading2"/>
      </w:pPr>
      <w:r>
        <w:t>04 Map the capability you can mobilize</w:t>
      </w:r>
    </w:p>
    <w:p>
      <w:r>
        <w:rPr>
          <w:b w:val="0"/>
        </w:rPr>
        <w:t>Chapters 7 to 9. Work backward from the outcome to the capabilities and resources it requires.</w:t>
      </w:r>
    </w:p>
    <w:p>
      <w:r>
        <w:rPr>
          <w:b w:val="0"/>
        </w:rPr>
        <w:t>Possessing a tool or knowing a person does not guarantee usable access. Include the cost, willingness, context, and governance of each dependency.</w:t>
      </w:r>
    </w:p>
    <w:p>
      <w:pPr>
        <w:pStyle w:val="Heading2"/>
      </w:pPr>
      <w:r>
        <w:t>05 Build a useful human network</w:t>
      </w:r>
    </w:p>
    <w:p>
      <w:r>
        <w:rPr>
          <w:b w:val="0"/>
        </w:rPr>
        <w:t>Chapters 10 to 12. Distinguish audience, advice, observed work, and a person willing to open an opportunity.</w:t>
      </w:r>
    </w:p>
    <w:p>
      <w:r>
        <w:rPr>
          <w:b w:val="0"/>
        </w:rPr>
        <w:t>Mentors guide and sponsors may mobilize opportunity. Neither transfers expertise, and neither owes unlimited availability or an endorsement.</w:t>
      </w:r>
    </w:p>
    <w:p>
      <w:r>
        <w:br w:type="page"/>
      </w:r>
    </w:p>
    <w:p>
      <w:pPr>
        <w:pStyle w:val="Heading1"/>
      </w:pPr>
      <w:r>
        <w:t>Chapter references and application notes</w:t>
      </w:r>
    </w:p>
    <w:p>
      <w:pPr>
        <w:pStyle w:val="Heading2"/>
      </w:pPr>
      <w:r>
        <w:t>06 Choose a developmental pathway</w:t>
      </w:r>
    </w:p>
    <w:p>
      <w:r>
        <w:rPr>
          <w:b w:val="0"/>
        </w:rPr>
        <w:t>Chapters 13 to 15. Compare pathways by knowledge, real practice, feedback, and the options they leave open.</w:t>
      </w:r>
    </w:p>
    <w:p>
      <w:r>
        <w:rPr>
          <w:b w:val="0"/>
        </w:rPr>
        <w:t>Reputation and average outcomes inform the comparison but do not determine the individual answer. Observation should support learning, not become surveillance.</w:t>
      </w:r>
    </w:p>
    <w:p>
      <w:pPr>
        <w:pStyle w:val="Heading2"/>
      </w:pPr>
      <w:r>
        <w:t>07 See the economic exchange</w:t>
      </w:r>
    </w:p>
    <w:p>
      <w:r>
        <w:rPr>
          <w:b w:val="0"/>
        </w:rPr>
        <w:t>Chapters 9 and 16. Understand what a useful product or pathway costs and rewards beyond its visible price.</w:t>
      </w:r>
    </w:p>
    <w:p>
      <w:r>
        <w:rPr>
          <w:b w:val="0"/>
        </w:rPr>
        <w:t>Free is a price condition, not an explanation. Do not invent a data transaction or assume that paying resolves every tradeoff.</w:t>
      </w:r>
    </w:p>
    <w:p>
      <w:pPr>
        <w:pStyle w:val="Heading2"/>
      </w:pPr>
      <w:r>
        <w:t>08 Find the work around the change</w:t>
      </w:r>
    </w:p>
    <w:p>
      <w:r>
        <w:rPr>
          <w:b w:val="0"/>
        </w:rPr>
        <w:t>Chapters 17 and 18. Examine a technological change without assuming that a large market is a personal opportunity.</w:t>
      </w:r>
    </w:p>
    <w:p>
      <w:r>
        <w:rPr>
          <w:b w:val="0"/>
        </w:rPr>
        <w:t>Technology can create and displace work unevenly. A market trend does not guarantee demand for a particular learner or project.</w:t>
      </w:r>
    </w:p>
    <w:p>
      <w:pPr>
        <w:pStyle w:val="Heading2"/>
      </w:pPr>
      <w:r>
        <w:t>09 Take bounded initiative</w:t>
      </w:r>
    </w:p>
    <w:p>
      <w:r>
        <w:rPr>
          <w:b w:val="0"/>
        </w:rPr>
        <w:t>Chapters 19 and 20. Start with an observed problem and the smallest useful improvement you can responsibly own.</w:t>
      </w:r>
    </w:p>
    <w:p>
      <w:r>
        <w:rPr>
          <w:b w:val="0"/>
        </w:rPr>
        <w:t>Initiative is not authority. The value of the attempt is contextual and does not measure the learner's worth as a person.</w:t>
      </w:r>
    </w:p>
    <w:p>
      <w:pPr>
        <w:pStyle w:val="Heading2"/>
      </w:pPr>
      <w:r>
        <w:t>10 Decide the next responsibility</w:t>
      </w:r>
    </w:p>
    <w:p>
      <w:r>
        <w:rPr>
          <w:b w:val="0"/>
        </w:rPr>
        <w:t>Chapters 21. Use evidence to decide whether to hold, expand, narrow, or change responsibility.</w:t>
      </w:r>
    </w:p>
    <w:p>
      <w:r>
        <w:rPr>
          <w:b w:val="0"/>
        </w:rPr>
        <w:t>Trust is contextual, not a character score. Greater scope is optional; depth, stability, care, and a decision not to expand are legitimate choices.</w:t>
      </w:r>
    </w:p>
    <w:p>
      <w:r>
        <w:br w:type="page"/>
      </w:r>
    </w:p>
    <w:p>
      <w:pPr>
        <w:pStyle w:val="Heading1"/>
      </w:pPr>
      <w:r>
        <w:t>Decision evidence record</w:t>
      </w:r>
    </w:p>
    <w:p>
      <w:r>
        <w:rPr>
          <w:b w:val="0"/>
        </w:rPr>
        <w:t>Use a copy for each consequential claim. Keep source material and personal information in a location you are authorized to use.</w:t>
      </w:r>
    </w:p>
    <w:p>
      <w:pPr>
        <w:keepNext/>
      </w:pPr>
      <w:r>
        <w:rPr>
          <w:b/>
        </w:rPr>
        <w:t>1. Decision and worksheet this evidence informs</w:t>
      </w:r>
    </w:p>
    <w:p>
      <w:pPr>
        <w:spacing w:line="720" w:lineRule="exact" w:before="0" w:after="80"/>
      </w:pPr>
      <w:r>
        <w:t xml:space="preserve"> </w:t>
      </w:r>
    </w:p>
    <w:p>
      <w:pPr>
        <w:keepNext/>
      </w:pPr>
      <w:r>
        <w:rPr>
          <w:b/>
        </w:rPr>
        <w:t>2. Claim and precise source location or link</w:t>
      </w:r>
    </w:p>
    <w:p>
      <w:pPr>
        <w:spacing w:line="720" w:lineRule="exact" w:before="0" w:after="80"/>
      </w:pPr>
      <w:r>
        <w:t xml:space="preserve"> </w:t>
      </w:r>
    </w:p>
    <w:p>
      <w:pPr>
        <w:keepNext/>
      </w:pPr>
      <w:r>
        <w:rPr>
          <w:b/>
        </w:rPr>
        <w:t>3. Source date and date checked</w:t>
      </w:r>
    </w:p>
    <w:p>
      <w:pPr>
        <w:spacing w:line="720" w:lineRule="exact" w:before="0" w:after="80"/>
      </w:pPr>
      <w:r>
        <w:t xml:space="preserve"> </w:t>
      </w:r>
    </w:p>
    <w:p>
      <w:pPr>
        <w:keepNext/>
      </w:pPr>
      <w:r>
        <w:rPr>
          <w:b/>
        </w:rPr>
        <w:t>4. What the source supports and under which conditions</w:t>
      </w:r>
    </w:p>
    <w:p>
      <w:pPr>
        <w:spacing w:line="720" w:lineRule="exact" w:before="0" w:after="80"/>
      </w:pPr>
      <w:r>
        <w:t xml:space="preserve"> </w:t>
      </w:r>
    </w:p>
    <w:p>
      <w:pPr>
        <w:keepNext/>
      </w:pPr>
      <w:r>
        <w:rPr>
          <w:b/>
        </w:rPr>
        <w:t>5. Uncertainty missing evidence or conflicting information</w:t>
      </w:r>
    </w:p>
    <w:p>
      <w:pPr>
        <w:spacing w:line="720" w:lineRule="exact" w:before="0" w:after="80"/>
      </w:pPr>
      <w:r>
        <w:t xml:space="preserve"> </w:t>
      </w:r>
    </w:p>
    <w:p>
      <w:pPr>
        <w:keepNext/>
      </w:pPr>
      <w:r>
        <w:rPr>
          <w:b/>
        </w:rPr>
        <w:t>6. Your interpretation and proposed action</w:t>
      </w:r>
    </w:p>
    <w:p>
      <w:pPr>
        <w:spacing w:line="720" w:lineRule="exact" w:before="0" w:after="80"/>
      </w:pPr>
      <w:r>
        <w:t xml:space="preserve"> </w:t>
      </w:r>
    </w:p>
    <w:p>
      <w:pPr>
        <w:keepNext/>
      </w:pPr>
      <w:r>
        <w:rPr>
          <w:b/>
        </w:rPr>
        <w:t>7. Reviewer and next review date or trigger</w:t>
      </w:r>
    </w:p>
    <w:p>
      <w:pPr>
        <w:spacing w:line="720" w:lineRule="exact" w:before="0" w:after="80"/>
      </w:pPr>
      <w:r>
        <w:t xml:space="preserve"> </w:t>
      </w:r>
    </w:p>
    <w:sectPr w:rsidR="00FC693F" w:rsidRPr="0006063C" w:rsidSect="00034616">
      <w:headerReference w:type="default" r:id="rId9"/>
      <w:footerReference w:type="default" r:id="rId10"/>
      <w:pgSz w:w="12240" w:h="15840"/>
      <w:pgMar w:top="1008" w:right="1224" w:bottom="1008" w:left="122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Arial" w:hAnsi="Arial"/>
        <w:sz w:val="16"/>
      </w:rPr>
      <w:t xml:space="preserve">Version 1.0  |  October 20,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Arial" w:hAnsi="Arial"/>
        <w:color w:val="000000"/>
        <w:sz w:val="16"/>
      </w:rPr>
      <w:t>CEO Leverage  |  Book 6  |  Sources and Notes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line="259" w:lineRule="auto"/>
      <w:outlineLvl w:val="0"/>
    </w:pPr>
    <w:rPr>
      <w:rFonts w:ascii="Arial" w:hAnsi="Arial"/>
      <w:b/>
      <w:bCs/>
      <w:color w:val="000000"/>
      <w:sz w:val="40"/>
      <w:szCs w:val="28"/>
    </w:rPr>
  </w:style>
  <w:style w:type="paragraph" w:styleId="Heading2">
    <w:name w:val="heading 2"/>
    <w:basedOn w:val="Normal"/>
    <w:next w:val="Normal"/>
    <w:link w:val="Heading2Char"/>
    <w:uiPriority w:val="9"/>
    <w:unhideWhenUsed/>
    <w:qFormat/>
    <w:rsid w:val="00FC693F"/>
    <w:pPr>
      <w:keepNext/>
      <w:keepLines/>
      <w:spacing w:before="200" w:after="140" w:line="259" w:lineRule="auto"/>
      <w:outlineLvl w:val="1"/>
    </w:pPr>
    <w:rPr>
      <w:rFonts w:ascii="Arial" w:hAnsi="Arial"/>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140" w:line="259" w:lineRule="auto"/>
      <w:outlineLvl w:val="2"/>
    </w:pPr>
    <w:rPr>
      <w:rFonts w:ascii="Arial" w:hAnsi="Arial"/>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59" w:lineRule="auto" w:before="0"/>
      <w:contextualSpacing/>
    </w:pPr>
    <w:rPr>
      <w:rFonts w:ascii="Arial" w:hAnsi="Arial"/>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line="259" w:lineRule="auto"/>
    </w:pPr>
    <w:rPr>
      <w:rFonts w:ascii="Arial" w:hAnsi="Arial"/>
      <w:i/>
      <w:iCs/>
      <w:color w:val="000000"/>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alextran.com/books/own-something-harder" TargetMode="External"/><Relationship Id="rId12" Type="http://schemas.openxmlformats.org/officeDocument/2006/relationships/hyperlink" Target="https://www.nationalacademies.org/read/24783" TargetMode="External"/><Relationship Id="rId13" Type="http://schemas.openxmlformats.org/officeDocument/2006/relationships/hyperlink" Target="https://www.oecd.org/en/topics/ai-principle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Own Something Harder Sources and Notes</dc:title>
  <dc:subject>Free CEO Leverage book companion</dc:subject>
  <dc:creator>Alex Tran</dc:creator>
  <cp:keywords/>
  <dc:description>generated by python-docx</dc:description>
  <cp:lastModifiedBy/>
  <cp:revision>1</cp:revision>
  <dcterms:created xsi:type="dcterms:W3CDTF">2013-12-23T23:15:00Z</dcterms:created>
  <dcterms:modified xsi:type="dcterms:W3CDTF">2013-12-23T23:15:00Z</dcterms:modified>
  <cp:category/>
</cp:coreProperties>
</file>