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When Capability Gets a Body</w:t>
      </w:r>
    </w:p>
    <w:p>
      <w:pPr>
        <w:pStyle w:val="Subtitle"/>
      </w:pPr>
      <w:r>
        <w:t>Sources and Notes</w:t>
      </w:r>
    </w:p>
    <w:p>
      <w:r>
        <w:rPr>
          <w:b w:val="0"/>
        </w:rPr>
        <w:t>Book 5 of Rentable Expertise by Alex Tran</w:t>
      </w:r>
    </w:p>
    <w:p>
      <w:r>
        <w:rPr>
          <w:b w:val="0"/>
        </w:rPr>
        <w:t>Use this companion to trace the toolkit to the book, check the limits of each exercise, and keep a record of the evidence behind your own decision.</w:t>
      </w:r>
    </w:p>
    <w:p>
      <w:pPr>
        <w:pStyle w:val="Heading2"/>
      </w:pPr>
      <w:r>
        <w:t>Primary source and scope</w:t>
      </w:r>
    </w:p>
    <w:p>
      <w:r>
        <w:rPr>
          <w:b w:val="0"/>
        </w:rPr>
        <w:t>Alex Tran, When Capability Gets a Body, published edition. The chapter map on the following pages identifies the basis for each worksheet. Worksheet prompts and the fictional example are companion adaptations, not quotations or a chapter by chapter reproduction.</w:t>
      </w:r>
    </w:p>
    <w:p>
      <w:hyperlink r:id="rId11">
        <w:r>
          <w:rPr>
            <w:color w:val="24577A"/>
          </w:rPr>
          <w:t>Official book page</w:t>
        </w:r>
      </w:hyperlink>
    </w:p>
    <w:p>
      <w:r>
        <w:rPr>
          <w:b w:val="0"/>
        </w:rPr>
        <w:t>This document is a chapter guide and a selection of further reading. It does not claim to reproduce the original book bibliography or to prove that a particular product, arrangement, or plan is suitable.</w:t>
      </w:r>
    </w:p>
    <w:p>
      <w:pPr>
        <w:pStyle w:val="Heading2"/>
      </w:pPr>
      <w:r>
        <w:t>Selected further reading</w:t>
      </w:r>
    </w:p>
    <w:p>
      <w:hyperlink r:id="rId12">
        <w:r>
          <w:rPr>
            <w:color w:val="24577A"/>
          </w:rPr>
          <w:t>OECD AI Principles</w:t>
        </w:r>
      </w:hyperlink>
    </w:p>
    <w:p>
      <w:r>
        <w:rPr>
          <w:b w:val="0"/>
        </w:rPr>
        <w:t>Further reading on human rights, dignity, autonomy, transparency, robustness, and accountability in AI. These principles do not prove the suitability of a particular device or service.</w:t>
      </w:r>
    </w:p>
    <w:p>
      <w:hyperlink r:id="rId13">
        <w:r>
          <w:rPr>
            <w:color w:val="24577A"/>
          </w:rPr>
          <w:t>NIST Privacy Framework</w:t>
        </w:r>
      </w:hyperlink>
    </w:p>
    <w:p>
      <w:r>
        <w:rPr>
          <w:b w:val="0"/>
        </w:rPr>
        <w:t>Further reading on identifying and managing privacy risk. Use it to deepen questions about data use and responsibility; it does not settle the rights or permission for an individual record.</w:t>
      </w:r>
    </w:p>
    <w:p>
      <w:r>
        <w:rPr>
          <w:b w:val="0"/>
        </w:rPr>
        <w:t>Further reading links checked October 19, 2026. Check the current edition and context before relying on an external source. Separate what a source says from your interpretation and the action you choose.</w:t>
      </w:r>
    </w:p>
    <w:p>
      <w:r>
        <w:br w:type="page"/>
      </w:r>
    </w:p>
    <w:p>
      <w:pPr>
        <w:pStyle w:val="Heading1"/>
      </w:pPr>
      <w:r>
        <w:t>Chapter references and application notes</w:t>
      </w:r>
    </w:p>
    <w:p>
      <w:pPr>
        <w:pStyle w:val="Heading2"/>
      </w:pPr>
      <w:r>
        <w:t>01 Does the body earn its place</w:t>
      </w:r>
    </w:p>
    <w:p>
      <w:r>
        <w:rPr>
          <w:b w:val="0"/>
        </w:rPr>
        <w:t>Chapters 1 to 3. Decide which part of the need requires physical action or presence.</w:t>
      </w:r>
    </w:p>
    <w:p>
      <w:r>
        <w:rPr>
          <w:b w:val="0"/>
        </w:rPr>
        <w:t>An attractive body or a polished demonstration does not establish competence in the intended home, role, or task.</w:t>
      </w:r>
    </w:p>
    <w:p>
      <w:pPr>
        <w:pStyle w:val="Heading2"/>
      </w:pPr>
      <w:r>
        <w:t>02 Compare the actual care arrangement</w:t>
      </w:r>
    </w:p>
    <w:p>
      <w:r>
        <w:rPr>
          <w:b w:val="0"/>
        </w:rPr>
        <w:t>Chapters 4 to 6 and 21. Compare realistic arrangements around the person receiving care.</w:t>
      </w:r>
    </w:p>
    <w:p>
      <w:r>
        <w:rPr>
          <w:b w:val="0"/>
        </w:rPr>
        <w:t>Compare with accessible alternatives, not an ideal caregiver. A person may welcome help with one task and refuse it for another.</w:t>
      </w:r>
    </w:p>
    <w:p>
      <w:pPr>
        <w:pStyle w:val="Heading2"/>
      </w:pPr>
      <w:r>
        <w:t>03 Keep memory claims honest</w:t>
      </w:r>
    </w:p>
    <w:p>
      <w:r>
        <w:rPr>
          <w:b w:val="0"/>
        </w:rPr>
        <w:t>Chapters 7 to 9 and 13. Distinguish a designed identity, stored information, and experience that actually occurred.</w:t>
      </w:r>
    </w:p>
    <w:p>
      <w:r>
        <w:rPr>
          <w:b w:val="0"/>
        </w:rPr>
        <w:t>Stored memories are not automatically a lived past. Preserve the distinction between a designed backstory, testimony, and recorded interaction.</w:t>
      </w:r>
    </w:p>
    <w:p>
      <w:pPr>
        <w:pStyle w:val="Heading2"/>
      </w:pPr>
      <w:r>
        <w:t>04 Map permission for a personal history</w:t>
      </w:r>
    </w:p>
    <w:p>
      <w:r>
        <w:rPr>
          <w:b w:val="0"/>
        </w:rPr>
        <w:t>Chapters 10 to 12. Identify whose life and information are represented before capture, access, or reuse.</w:t>
      </w:r>
    </w:p>
    <w:p>
      <w:r>
        <w:rPr>
          <w:b w:val="0"/>
        </w:rPr>
        <w:t>A person's account may contain someone else's private information. Permission for one use is not blanket permission for every future use.</w:t>
      </w:r>
    </w:p>
    <w:p>
      <w:pPr>
        <w:pStyle w:val="Heading2"/>
      </w:pPr>
      <w:r>
        <w:t>05 Preserve provenance and disagreement</w:t>
      </w:r>
    </w:p>
    <w:p>
      <w:r>
        <w:rPr>
          <w:b w:val="0"/>
        </w:rPr>
        <w:t>Chapters 13 and 14. Keep a meaningful history without converting every story into an unquestioned fact.</w:t>
      </w:r>
    </w:p>
    <w:p>
      <w:r>
        <w:rPr>
          <w:b w:val="0"/>
        </w:rPr>
        <w:t>Preserve provenance and uncertainty. An intimate or familiar account still needs an honest description of where it came from.</w:t>
      </w:r>
    </w:p>
    <w:p>
      <w:r>
        <w:br w:type="page"/>
      </w:r>
    </w:p>
    <w:p>
      <w:pPr>
        <w:pStyle w:val="Heading1"/>
      </w:pPr>
      <w:r>
        <w:t>Chapter references and application notes</w:t>
      </w:r>
    </w:p>
    <w:p>
      <w:pPr>
        <w:pStyle w:val="Heading2"/>
      </w:pPr>
      <w:r>
        <w:t>06 Test continuity beyond export</w:t>
      </w:r>
    </w:p>
    <w:p>
      <w:r>
        <w:rPr>
          <w:b w:val="0"/>
        </w:rPr>
        <w:t>Chapters 15 to 18. Define what continuity means before replacing a body, provider, or system.</w:t>
      </w:r>
    </w:p>
    <w:p>
      <w:r>
        <w:rPr>
          <w:b w:val="0"/>
        </w:rPr>
        <w:t>Files moving successfully does not prove that behavior or a relationship continues. Physical wear, provenance, and narrative meaning are different things.</w:t>
      </w:r>
    </w:p>
    <w:p>
      <w:pPr>
        <w:pStyle w:val="Heading2"/>
      </w:pPr>
      <w:r>
        <w:t>07 Agree the role and authority</w:t>
      </w:r>
    </w:p>
    <w:p>
      <w:r>
        <w:rPr>
          <w:b w:val="0"/>
        </w:rPr>
        <w:t>Chapters 19 and 20. Separate a welcome role from permission to act, especially when instructions conflict.</w:t>
      </w:r>
    </w:p>
    <w:p>
      <w:r>
        <w:rPr>
          <w:b w:val="0"/>
        </w:rPr>
        <w:t>The authority ladder is a thinking aid, not a clinical or legal protocol. Role, access, authority, autonomy, and oversight remain separate decisions.</w:t>
      </w:r>
    </w:p>
    <w:p>
      <w:pPr>
        <w:pStyle w:val="Heading2"/>
      </w:pPr>
      <w:r>
        <w:t>08 Protect human contact and autonomy</w:t>
      </w:r>
    </w:p>
    <w:p>
      <w:r>
        <w:rPr>
          <w:b w:val="0"/>
        </w:rPr>
        <w:t>Chapters 19 to 22. Check whether the arrangement expands the person's choices and supports the relationships they value.</w:t>
      </w:r>
    </w:p>
    <w:p>
      <w:r>
        <w:rPr>
          <w:b w:val="0"/>
        </w:rPr>
        <w:t>The purchaser's convenience is not the only outcome. Ask the person receiving care about practical autonomy, dignity, and human presence.</w:t>
      </w:r>
    </w:p>
    <w:p>
      <w:pPr>
        <w:pStyle w:val="Heading2"/>
      </w:pPr>
      <w:r>
        <w:t>09 Review before delegating care</w:t>
      </w:r>
    </w:p>
    <w:p>
      <w:r>
        <w:rPr>
          <w:b w:val="0"/>
        </w:rPr>
        <w:t>Chapters 20 to 22. Bring the decision together for one specific task and one particular life.</w:t>
      </w:r>
    </w:p>
    <w:p>
      <w:r>
        <w:rPr>
          <w:b w:val="0"/>
        </w:rPr>
        <w:t>Use this as a discussion record. It does not certify a device, authorize care, or replace the qualified assessment required for a consequential care decision.</w:t>
      </w:r>
    </w:p>
    <w:p>
      <w:r>
        <w:br w:type="page"/>
      </w:r>
    </w:p>
    <w:p>
      <w:pPr>
        <w:pStyle w:val="Heading1"/>
      </w:pPr>
      <w:r>
        <w:t>Decision evidence record</w:t>
      </w:r>
    </w:p>
    <w:p>
      <w:r>
        <w:rPr>
          <w:b w:val="0"/>
        </w:rPr>
        <w:t>Use a copy for each consequential claim. Keep source material and personal information in a location you are authorized to use.</w:t>
      </w:r>
    </w:p>
    <w:p>
      <w:pPr>
        <w:keepNext/>
      </w:pPr>
      <w:r>
        <w:rPr>
          <w:b/>
        </w:rPr>
        <w:t>1. Decision and worksheet this evidence informs</w:t>
      </w:r>
    </w:p>
    <w:p>
      <w:pPr>
        <w:spacing w:line="720" w:lineRule="exact" w:before="0" w:after="80"/>
      </w:pPr>
      <w:r>
        <w:t xml:space="preserve"> </w:t>
      </w:r>
    </w:p>
    <w:p>
      <w:pPr>
        <w:keepNext/>
      </w:pPr>
      <w:r>
        <w:rPr>
          <w:b/>
        </w:rPr>
        <w:t>2. Claim and precise source location or link</w:t>
      </w:r>
    </w:p>
    <w:p>
      <w:pPr>
        <w:spacing w:line="720" w:lineRule="exact" w:before="0" w:after="80"/>
      </w:pPr>
      <w:r>
        <w:t xml:space="preserve"> </w:t>
      </w:r>
    </w:p>
    <w:p>
      <w:pPr>
        <w:keepNext/>
      </w:pPr>
      <w:r>
        <w:rPr>
          <w:b/>
        </w:rPr>
        <w:t>3. Source date and date checked</w:t>
      </w:r>
    </w:p>
    <w:p>
      <w:pPr>
        <w:spacing w:line="720" w:lineRule="exact" w:before="0" w:after="80"/>
      </w:pPr>
      <w:r>
        <w:t xml:space="preserve"> </w:t>
      </w:r>
    </w:p>
    <w:p>
      <w:pPr>
        <w:keepNext/>
      </w:pPr>
      <w:r>
        <w:rPr>
          <w:b/>
        </w:rPr>
        <w:t>4. What the source supports and under which conditions</w:t>
      </w:r>
    </w:p>
    <w:p>
      <w:pPr>
        <w:spacing w:line="720" w:lineRule="exact" w:before="0" w:after="80"/>
      </w:pPr>
      <w:r>
        <w:t xml:space="preserve"> </w:t>
      </w:r>
    </w:p>
    <w:p>
      <w:pPr>
        <w:keepNext/>
      </w:pPr>
      <w:r>
        <w:rPr>
          <w:b/>
        </w:rPr>
        <w:t>5. Uncertainty missing evidence or conflicting information</w:t>
      </w:r>
    </w:p>
    <w:p>
      <w:pPr>
        <w:spacing w:line="720" w:lineRule="exact" w:before="0" w:after="80"/>
      </w:pPr>
      <w:r>
        <w:t xml:space="preserve"> </w:t>
      </w:r>
    </w:p>
    <w:p>
      <w:pPr>
        <w:keepNext/>
      </w:pPr>
      <w:r>
        <w:rPr>
          <w:b/>
        </w:rPr>
        <w:t>6. Your interpretation and proposed action</w:t>
      </w:r>
    </w:p>
    <w:p>
      <w:pPr>
        <w:spacing w:line="720" w:lineRule="exact" w:before="0" w:after="80"/>
      </w:pPr>
      <w:r>
        <w:t xml:space="preserve"> </w:t>
      </w:r>
    </w:p>
    <w:p>
      <w:pPr>
        <w:keepNext/>
      </w:pPr>
      <w:r>
        <w:rPr>
          <w:b/>
        </w:rPr>
        <w:t>7. Reviewer and next review date or trigger</w:t>
      </w:r>
    </w:p>
    <w:p>
      <w:pPr>
        <w:spacing w:line="720" w:lineRule="exact" w:before="0" w:after="80"/>
      </w:pPr>
      <w:r>
        <w:t xml:space="preserve"> 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224" w:bottom="1008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sz w:val="16"/>
      </w:rPr>
      <w:t xml:space="preserve">Version 1.0  |  October 20, 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color w:val="000000"/>
        <w:sz w:val="16"/>
      </w:rPr>
      <w:t>CEO Leverage  |  Book 5  |  Sources and Notes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 w:line="259" w:lineRule="auto"/>
      <w:outlineLvl w:val="0"/>
    </w:pPr>
    <w:rPr>
      <w:rFonts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9" w:lineRule="auto"/>
      <w:outlineLvl w:val="1"/>
    </w:pPr>
    <w:rPr>
      <w:rFonts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 w:line="259" w:lineRule="auto"/>
      <w:outlineLvl w:val="2"/>
    </w:pPr>
    <w:rPr>
      <w:rFonts w:ascii="Arial" w:hAnsi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9" w:lineRule="auto" w:before="0"/>
      <w:contextualSpacing/>
    </w:pPr>
    <w:rPr>
      <w:rFonts w:ascii="Arial" w:hAnsi="Arial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59" w:lineRule="auto"/>
    </w:pPr>
    <w:rPr>
      <w:rFonts w:ascii="Arial" w:hAnsi="Arial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alextran.com/books/when-capability-gets-a-body" TargetMode="External"/><Relationship Id="rId12" Type="http://schemas.openxmlformats.org/officeDocument/2006/relationships/hyperlink" Target="https://www.oecd.org/en/topics/ai-principles.html" TargetMode="External"/><Relationship Id="rId13" Type="http://schemas.openxmlformats.org/officeDocument/2006/relationships/hyperlink" Target="https://www.nist.gov/privacy-framework/privacy-framewo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When Capability Gets a Body Sources and Notes</dc:title>
  <dc:subject>Free CEO Leverage book companion</dc:subject>
  <dc:creator>Alex Tran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